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A215" w14:textId="707A42E2" w:rsidR="002933F3" w:rsidRDefault="002933F3" w:rsidP="00B917E9">
      <w:pPr>
        <w:shd w:val="clear" w:color="auto" w:fill="FFFFFF" w:themeFill="background1"/>
        <w:ind w:left="720" w:hanging="720"/>
        <w:jc w:val="center"/>
        <w:rPr>
          <w:rFonts w:ascii="Arial" w:hAnsi="Arial" w:cs="Arial"/>
          <w:b/>
          <w:bCs/>
          <w:color w:val="FF9933"/>
          <w:sz w:val="32"/>
          <w:szCs w:val="32"/>
        </w:rPr>
      </w:pPr>
      <w:r w:rsidRPr="002933F3">
        <w:rPr>
          <w:rFonts w:ascii="Arial" w:hAnsi="Arial" w:cs="Arial"/>
          <w:b/>
          <w:bCs/>
          <w:noProof/>
          <w:color w:val="FF9933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4A8546" wp14:editId="7262CCE9">
            <wp:simplePos x="0" y="0"/>
            <wp:positionH relativeFrom="margin">
              <wp:align>center</wp:align>
            </wp:positionH>
            <wp:positionV relativeFrom="paragraph">
              <wp:posOffset>-264795</wp:posOffset>
            </wp:positionV>
            <wp:extent cx="1619250" cy="1597871"/>
            <wp:effectExtent l="0" t="0" r="0" b="0"/>
            <wp:wrapNone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7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40817" w14:textId="4BDAB559" w:rsidR="002933F3" w:rsidRDefault="002933F3" w:rsidP="00B917E9">
      <w:pPr>
        <w:shd w:val="clear" w:color="auto" w:fill="FFFFFF" w:themeFill="background1"/>
        <w:ind w:left="720" w:hanging="720"/>
        <w:jc w:val="center"/>
        <w:rPr>
          <w:rFonts w:ascii="Arial" w:hAnsi="Arial" w:cs="Arial"/>
          <w:b/>
          <w:bCs/>
          <w:color w:val="FF9933"/>
          <w:sz w:val="32"/>
          <w:szCs w:val="32"/>
        </w:rPr>
      </w:pPr>
    </w:p>
    <w:p w14:paraId="30BED112" w14:textId="77777777" w:rsidR="002933F3" w:rsidRDefault="002933F3" w:rsidP="00B917E9">
      <w:pPr>
        <w:shd w:val="clear" w:color="auto" w:fill="FFFFFF" w:themeFill="background1"/>
        <w:ind w:left="720" w:hanging="720"/>
        <w:jc w:val="center"/>
        <w:rPr>
          <w:rFonts w:ascii="Arial" w:hAnsi="Arial" w:cs="Arial"/>
          <w:b/>
          <w:bCs/>
          <w:color w:val="FF9933"/>
          <w:sz w:val="32"/>
          <w:szCs w:val="32"/>
        </w:rPr>
      </w:pPr>
    </w:p>
    <w:p w14:paraId="60AF9609" w14:textId="77777777" w:rsidR="002933F3" w:rsidRDefault="002933F3" w:rsidP="00B917E9">
      <w:pPr>
        <w:shd w:val="clear" w:color="auto" w:fill="FFFFFF" w:themeFill="background1"/>
        <w:ind w:left="720" w:hanging="720"/>
        <w:jc w:val="center"/>
        <w:rPr>
          <w:rFonts w:ascii="Arial" w:hAnsi="Arial" w:cs="Arial"/>
          <w:b/>
          <w:bCs/>
          <w:color w:val="FF9933"/>
          <w:sz w:val="32"/>
          <w:szCs w:val="32"/>
        </w:rPr>
      </w:pPr>
    </w:p>
    <w:p w14:paraId="4D4CB54C" w14:textId="2D3CF43D" w:rsidR="00B917E9" w:rsidRDefault="00B917E9" w:rsidP="002933F3">
      <w:pPr>
        <w:shd w:val="clear" w:color="auto" w:fill="FFFFFF" w:themeFill="background1"/>
        <w:ind w:left="720" w:hanging="720"/>
        <w:jc w:val="center"/>
        <w:rPr>
          <w:rFonts w:ascii="Arial" w:hAnsi="Arial" w:cs="Arial"/>
          <w:b/>
          <w:bCs/>
          <w:color w:val="FF9933"/>
          <w:sz w:val="32"/>
          <w:szCs w:val="32"/>
        </w:rPr>
      </w:pPr>
      <w:r w:rsidRPr="002933F3">
        <w:rPr>
          <w:rFonts w:ascii="Arial" w:hAnsi="Arial" w:cs="Arial"/>
          <w:b/>
          <w:bCs/>
          <w:color w:val="FF9933"/>
          <w:sz w:val="32"/>
          <w:szCs w:val="32"/>
        </w:rPr>
        <w:t>Achieve Well Foundation Awards Action Plan</w:t>
      </w:r>
    </w:p>
    <w:p w14:paraId="16729078" w14:textId="77777777" w:rsidR="002933F3" w:rsidRPr="002933F3" w:rsidRDefault="002933F3" w:rsidP="002933F3">
      <w:pPr>
        <w:shd w:val="clear" w:color="auto" w:fill="FFFFFF" w:themeFill="background1"/>
        <w:ind w:left="720" w:hanging="720"/>
        <w:jc w:val="center"/>
        <w:rPr>
          <w:rFonts w:ascii="Arial" w:hAnsi="Arial" w:cs="Arial"/>
          <w:b/>
          <w:bCs/>
          <w:color w:val="FF9933"/>
          <w:sz w:val="16"/>
          <w:szCs w:val="16"/>
        </w:rPr>
      </w:pPr>
    </w:p>
    <w:tbl>
      <w:tblPr>
        <w:tblStyle w:val="TableGrid"/>
        <w:tblW w:w="15451" w:type="dxa"/>
        <w:tblInd w:w="-5" w:type="dxa"/>
        <w:tblBorders>
          <w:top w:val="single" w:sz="8" w:space="0" w:color="FF9933"/>
          <w:left w:val="single" w:sz="8" w:space="0" w:color="FF9933"/>
          <w:bottom w:val="single" w:sz="8" w:space="0" w:color="FF9933"/>
          <w:right w:val="single" w:sz="8" w:space="0" w:color="FF9933"/>
          <w:insideH w:val="single" w:sz="8" w:space="0" w:color="FF9933"/>
          <w:insideV w:val="single" w:sz="8" w:space="0" w:color="FF9933"/>
        </w:tblBorders>
        <w:tblLook w:val="04A0" w:firstRow="1" w:lastRow="0" w:firstColumn="1" w:lastColumn="0" w:noHBand="0" w:noVBand="1"/>
      </w:tblPr>
      <w:tblGrid>
        <w:gridCol w:w="1701"/>
        <w:gridCol w:w="3653"/>
        <w:gridCol w:w="6112"/>
        <w:gridCol w:w="1417"/>
        <w:gridCol w:w="1350"/>
        <w:gridCol w:w="1218"/>
      </w:tblGrid>
      <w:tr w:rsidR="00B917E9" w14:paraId="120B5E16" w14:textId="77777777" w:rsidTr="002933F3">
        <w:tc>
          <w:tcPr>
            <w:tcW w:w="1701" w:type="dxa"/>
            <w:tcBorders>
              <w:right w:val="single" w:sz="8" w:space="0" w:color="FFFFFF" w:themeColor="background1"/>
            </w:tcBorders>
            <w:shd w:val="clear" w:color="auto" w:fill="FF9933"/>
          </w:tcPr>
          <w:p w14:paraId="4DAA0181" w14:textId="2A0A8D35" w:rsidR="00B917E9" w:rsidRPr="002933F3" w:rsidRDefault="00B917E9" w:rsidP="00B917E9">
            <w:pPr>
              <w:rPr>
                <w:b/>
                <w:bCs/>
                <w:color w:val="FFFFFF" w:themeColor="background1"/>
              </w:rPr>
            </w:pPr>
            <w:r w:rsidRPr="002933F3">
              <w:rPr>
                <w:b/>
                <w:bCs/>
                <w:color w:val="FFFFFF" w:themeColor="background1"/>
              </w:rPr>
              <w:t>Benchmarks</w:t>
            </w:r>
          </w:p>
        </w:tc>
        <w:tc>
          <w:tcPr>
            <w:tcW w:w="365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9933"/>
          </w:tcPr>
          <w:p w14:paraId="0E08A2DC" w14:textId="2CA8C89B" w:rsidR="00B917E9" w:rsidRPr="002933F3" w:rsidRDefault="00B917E9" w:rsidP="00B917E9">
            <w:pPr>
              <w:rPr>
                <w:b/>
                <w:bCs/>
                <w:color w:val="FFFFFF" w:themeColor="background1"/>
              </w:rPr>
            </w:pPr>
            <w:r w:rsidRPr="002933F3">
              <w:rPr>
                <w:b/>
                <w:bCs/>
                <w:color w:val="FFFFFF" w:themeColor="background1"/>
              </w:rPr>
              <w:t>Criteria (delete as appropriate)</w:t>
            </w:r>
          </w:p>
        </w:tc>
        <w:tc>
          <w:tcPr>
            <w:tcW w:w="612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9933"/>
          </w:tcPr>
          <w:p w14:paraId="7C5C8D90" w14:textId="1F90E245" w:rsidR="00B917E9" w:rsidRPr="002933F3" w:rsidRDefault="00B917E9" w:rsidP="00B917E9">
            <w:pPr>
              <w:rPr>
                <w:b/>
                <w:bCs/>
                <w:color w:val="FFFFFF" w:themeColor="background1"/>
              </w:rPr>
            </w:pPr>
            <w:r w:rsidRPr="002933F3">
              <w:rPr>
                <w:b/>
                <w:bCs/>
                <w:color w:val="FFFFFF" w:themeColor="background1"/>
              </w:rPr>
              <w:t>Actions</w:t>
            </w:r>
          </w:p>
        </w:tc>
        <w:tc>
          <w:tcPr>
            <w:tcW w:w="141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9933"/>
          </w:tcPr>
          <w:p w14:paraId="05AFBDA2" w14:textId="1A104B74" w:rsidR="00B917E9" w:rsidRPr="002933F3" w:rsidRDefault="00B917E9" w:rsidP="00A1423B">
            <w:pPr>
              <w:jc w:val="center"/>
              <w:rPr>
                <w:b/>
                <w:bCs/>
                <w:color w:val="FFFFFF" w:themeColor="background1"/>
              </w:rPr>
            </w:pPr>
            <w:r w:rsidRPr="002933F3">
              <w:rPr>
                <w:b/>
                <w:bCs/>
                <w:color w:val="FFFFFF" w:themeColor="background1"/>
              </w:rPr>
              <w:t>Lead person</w:t>
            </w:r>
          </w:p>
        </w:tc>
        <w:tc>
          <w:tcPr>
            <w:tcW w:w="135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9933"/>
          </w:tcPr>
          <w:p w14:paraId="4779685B" w14:textId="77777777" w:rsidR="00B917E9" w:rsidRPr="002933F3" w:rsidRDefault="00B917E9" w:rsidP="00A1423B">
            <w:pPr>
              <w:jc w:val="center"/>
              <w:rPr>
                <w:b/>
                <w:bCs/>
                <w:color w:val="FFFFFF" w:themeColor="background1"/>
              </w:rPr>
            </w:pPr>
            <w:r w:rsidRPr="002933F3">
              <w:rPr>
                <w:b/>
                <w:bCs/>
                <w:color w:val="FFFFFF" w:themeColor="background1"/>
              </w:rPr>
              <w:t>Timescale</w:t>
            </w:r>
          </w:p>
          <w:p w14:paraId="420AAE1E" w14:textId="3EB882A9" w:rsidR="00B917E9" w:rsidRPr="002933F3" w:rsidRDefault="00B917E9" w:rsidP="00A1423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00" w:type="dxa"/>
            <w:tcBorders>
              <w:left w:val="single" w:sz="8" w:space="0" w:color="FFFFFF" w:themeColor="background1"/>
            </w:tcBorders>
            <w:shd w:val="clear" w:color="auto" w:fill="FF9933"/>
          </w:tcPr>
          <w:p w14:paraId="2EC68C91" w14:textId="12B5CF5B" w:rsidR="00B917E9" w:rsidRPr="002933F3" w:rsidRDefault="00B917E9" w:rsidP="00A1423B">
            <w:pPr>
              <w:jc w:val="center"/>
              <w:rPr>
                <w:b/>
                <w:bCs/>
                <w:color w:val="FFFFFF" w:themeColor="background1"/>
              </w:rPr>
            </w:pPr>
            <w:r w:rsidRPr="002933F3">
              <w:rPr>
                <w:b/>
                <w:bCs/>
                <w:color w:val="FFFFFF" w:themeColor="background1"/>
              </w:rPr>
              <w:t>Completed</w:t>
            </w:r>
          </w:p>
        </w:tc>
      </w:tr>
      <w:tr w:rsidR="00B917E9" w14:paraId="67A0E722" w14:textId="77777777" w:rsidTr="00B917E9">
        <w:tc>
          <w:tcPr>
            <w:tcW w:w="1701" w:type="dxa"/>
          </w:tcPr>
          <w:p w14:paraId="7420771F" w14:textId="21338F9D" w:rsidR="00B917E9" w:rsidRDefault="00B917E9" w:rsidP="00B917E9">
            <w:r w:rsidRPr="00003320">
              <w:rPr>
                <w:rFonts w:ascii="Arial" w:hAnsi="Arial" w:cs="Arial"/>
                <w:sz w:val="20"/>
                <w:szCs w:val="20"/>
              </w:rPr>
              <w:t>1. Whole school ethos, modelling and practice around health and wellbeing</w:t>
            </w:r>
          </w:p>
        </w:tc>
        <w:tc>
          <w:tcPr>
            <w:tcW w:w="3657" w:type="dxa"/>
          </w:tcPr>
          <w:p w14:paraId="3E0B4DCB" w14:textId="2CCF1A83" w:rsidR="00B917E9" w:rsidRDefault="00B917E9" w:rsidP="00B917E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There is a clear vision for health and wellbeing that is promoted by governors and school leaders and reflected in strategies, policies and practice that are regularly monitored and evaluated</w:t>
            </w:r>
          </w:p>
          <w:p w14:paraId="2038E87C" w14:textId="77777777" w:rsidR="002933F3" w:rsidRPr="00003320" w:rsidRDefault="002933F3" w:rsidP="002933F3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06BBE176" w14:textId="77777777" w:rsidR="002933F3" w:rsidRDefault="00B917E9" w:rsidP="00B917E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The school physical environment promotes health and wellbeing</w:t>
            </w:r>
          </w:p>
          <w:p w14:paraId="52B43F42" w14:textId="423BAF2B" w:rsidR="00B917E9" w:rsidRPr="002933F3" w:rsidRDefault="00B917E9" w:rsidP="002933F3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2933F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7EBB0FF" w14:textId="768D08EC" w:rsidR="00B917E9" w:rsidRDefault="00B917E9" w:rsidP="00B917E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wider curriculum supports children’s learning around health &amp; wellbeing</w:t>
            </w:r>
          </w:p>
          <w:p w14:paraId="1B9C341B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99B6BA0" w14:textId="68E2410B" w:rsidR="00B917E9" w:rsidRDefault="00B917E9" w:rsidP="00B917E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The school provides opportunities for children to make healthy choices</w:t>
            </w:r>
          </w:p>
          <w:p w14:paraId="4AE6381C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53F02F4C" w14:textId="77777777" w:rsidR="00B917E9" w:rsidRPr="002933F3" w:rsidRDefault="00B917E9" w:rsidP="00B917E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B917E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school creates an environment of respect and inclusivity by promoting behaviours that celebrate diversity and fostering a sense of belonging across the entire community</w:t>
            </w:r>
          </w:p>
          <w:p w14:paraId="1C86D680" w14:textId="3B5C031C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24" w:type="dxa"/>
          </w:tcPr>
          <w:p w14:paraId="7BDFB840" w14:textId="77777777" w:rsidR="00B917E9" w:rsidRDefault="00B917E9" w:rsidP="00B917E9"/>
        </w:tc>
        <w:tc>
          <w:tcPr>
            <w:tcW w:w="1418" w:type="dxa"/>
          </w:tcPr>
          <w:p w14:paraId="50AC6197" w14:textId="77777777" w:rsidR="00B917E9" w:rsidRDefault="00B917E9" w:rsidP="00B917E9"/>
        </w:tc>
        <w:tc>
          <w:tcPr>
            <w:tcW w:w="1351" w:type="dxa"/>
          </w:tcPr>
          <w:p w14:paraId="0028BEE4" w14:textId="77777777" w:rsidR="00B917E9" w:rsidRDefault="00B917E9" w:rsidP="00B917E9"/>
        </w:tc>
        <w:tc>
          <w:tcPr>
            <w:tcW w:w="1200" w:type="dxa"/>
          </w:tcPr>
          <w:p w14:paraId="362FECEC" w14:textId="77777777" w:rsidR="00B917E9" w:rsidRDefault="00B917E9" w:rsidP="00B917E9"/>
        </w:tc>
      </w:tr>
      <w:tr w:rsidR="00B917E9" w14:paraId="211C2EC6" w14:textId="77777777" w:rsidTr="00B917E9">
        <w:tc>
          <w:tcPr>
            <w:tcW w:w="1701" w:type="dxa"/>
          </w:tcPr>
          <w:p w14:paraId="36BC9561" w14:textId="77777777" w:rsidR="00B917E9" w:rsidRPr="00003320" w:rsidRDefault="00B917E9" w:rsidP="00B917E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2. Provision meets the needs of pupils </w:t>
            </w:r>
          </w:p>
          <w:p w14:paraId="596FB294" w14:textId="77777777" w:rsidR="00B917E9" w:rsidRPr="00003320" w:rsidRDefault="00B917E9" w:rsidP="00B91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6CDBCD6C" w14:textId="77777777" w:rsidR="002933F3" w:rsidRDefault="00B917E9" w:rsidP="00B917E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An annual health and wellbeing survey or consultation is carried out to establish areas of need</w:t>
            </w:r>
          </w:p>
          <w:p w14:paraId="7BBB7144" w14:textId="674C1558" w:rsidR="00B917E9" w:rsidRPr="00003320" w:rsidRDefault="00B917E9" w:rsidP="002933F3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 </w:t>
            </w:r>
          </w:p>
          <w:p w14:paraId="60F54566" w14:textId="47649D1F" w:rsidR="00B917E9" w:rsidRDefault="00B917E9" w:rsidP="00B917E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lastRenderedPageBreak/>
              <w:t>There are accessible opportunities for children to share their views and opinions about health and wellbeing support and education on a regular basis</w:t>
            </w:r>
          </w:p>
          <w:p w14:paraId="79EC95E2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3C743219" w14:textId="77777777" w:rsidR="00B917E9" w:rsidRPr="00003320" w:rsidRDefault="00B917E9" w:rsidP="00B917E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The school uses internal data to inform their planning and practice</w:t>
            </w:r>
          </w:p>
          <w:p w14:paraId="136F46FE" w14:textId="329A1184" w:rsidR="00B917E9" w:rsidRDefault="00B917E9" w:rsidP="00B917E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The needs of specific groups are identified and action</w:t>
            </w:r>
            <w:r w:rsidR="002933F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s</w:t>
            </w:r>
          </w:p>
          <w:p w14:paraId="5B9ED1A3" w14:textId="77777777" w:rsidR="002933F3" w:rsidRDefault="002933F3" w:rsidP="002933F3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2D22C7B6" w14:textId="0ED16DD5" w:rsidR="00B917E9" w:rsidRPr="00B917E9" w:rsidRDefault="00B917E9" w:rsidP="00B917E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B917E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Provision and practice are informed by local and national evidence-based research around the needs of children</w:t>
            </w:r>
          </w:p>
        </w:tc>
        <w:tc>
          <w:tcPr>
            <w:tcW w:w="6124" w:type="dxa"/>
          </w:tcPr>
          <w:p w14:paraId="2A5452D5" w14:textId="77777777" w:rsidR="00B917E9" w:rsidRDefault="00B917E9" w:rsidP="00B917E9"/>
        </w:tc>
        <w:tc>
          <w:tcPr>
            <w:tcW w:w="1418" w:type="dxa"/>
          </w:tcPr>
          <w:p w14:paraId="7FFA7451" w14:textId="77777777" w:rsidR="00B917E9" w:rsidRDefault="00B917E9" w:rsidP="00B917E9"/>
        </w:tc>
        <w:tc>
          <w:tcPr>
            <w:tcW w:w="1351" w:type="dxa"/>
          </w:tcPr>
          <w:p w14:paraId="464D3772" w14:textId="77777777" w:rsidR="00B917E9" w:rsidRDefault="00B917E9" w:rsidP="00B917E9"/>
        </w:tc>
        <w:tc>
          <w:tcPr>
            <w:tcW w:w="1200" w:type="dxa"/>
          </w:tcPr>
          <w:p w14:paraId="1B54D92C" w14:textId="77777777" w:rsidR="00B917E9" w:rsidRDefault="00B917E9" w:rsidP="00B917E9"/>
        </w:tc>
      </w:tr>
      <w:tr w:rsidR="00B917E9" w14:paraId="725FE31B" w14:textId="77777777" w:rsidTr="00B917E9">
        <w:tc>
          <w:tcPr>
            <w:tcW w:w="1701" w:type="dxa"/>
          </w:tcPr>
          <w:p w14:paraId="029D4223" w14:textId="6B37AF3C" w:rsidR="00B917E9" w:rsidRPr="00003320" w:rsidRDefault="00B917E9" w:rsidP="00B917E9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3. A comprehensive planned PSHE programme</w:t>
            </w:r>
          </w:p>
        </w:tc>
        <w:tc>
          <w:tcPr>
            <w:tcW w:w="3657" w:type="dxa"/>
          </w:tcPr>
          <w:p w14:paraId="2319811C" w14:textId="77777777" w:rsidR="002933F3" w:rsidRDefault="00B917E9" w:rsidP="00B917E9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003320">
              <w:rPr>
                <w:rStyle w:val="normaltextrun"/>
                <w:rFonts w:ascii="Arial" w:hAnsi="Arial" w:cs="Arial"/>
                <w:sz w:val="20"/>
                <w:szCs w:val="20"/>
              </w:rPr>
              <w:t>A named lead has responsibility, time and resources allocated to plan and evaluate the impact of PSHE</w:t>
            </w:r>
          </w:p>
          <w:p w14:paraId="3E70C600" w14:textId="76DD4E80" w:rsidR="00B917E9" w:rsidRPr="00003320" w:rsidRDefault="00B917E9" w:rsidP="002933F3">
            <w:pPr>
              <w:pStyle w:val="ListParagraph"/>
              <w:ind w:left="360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00332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4F1A753" w14:textId="77777777" w:rsidR="002933F3" w:rsidRDefault="00B917E9" w:rsidP="00B917E9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003320">
              <w:rPr>
                <w:rStyle w:val="normaltextrun"/>
                <w:rFonts w:ascii="Arial" w:hAnsi="Arial" w:cs="Arial"/>
                <w:sz w:val="20"/>
                <w:szCs w:val="20"/>
              </w:rPr>
              <w:t>PSHE has high status within the school</w:t>
            </w:r>
          </w:p>
          <w:p w14:paraId="0768C3F2" w14:textId="247AC559" w:rsidR="00B917E9" w:rsidRPr="002933F3" w:rsidRDefault="00B917E9" w:rsidP="002933F3">
            <w:pPr>
              <w:rPr>
                <w:rFonts w:ascii="Arial" w:hAnsi="Arial" w:cs="Arial"/>
                <w:sz w:val="20"/>
                <w:szCs w:val="20"/>
              </w:rPr>
            </w:pPr>
            <w:r w:rsidRPr="002933F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2933F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931DB80" w14:textId="529A3A06" w:rsidR="00B917E9" w:rsidRDefault="00B917E9" w:rsidP="00B917E9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003320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 xml:space="preserve">The content of PSHE reflects the Nottingham healthy child vision, children’s needs, statutory requirements, </w:t>
            </w:r>
            <w:proofErr w:type="gramStart"/>
            <w:r w:rsidRPr="00003320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evidence</w:t>
            </w:r>
            <w:proofErr w:type="gramEnd"/>
            <w:r w:rsidRPr="00003320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 xml:space="preserve"> and good practice </w:t>
            </w:r>
          </w:p>
          <w:p w14:paraId="01B0CEA7" w14:textId="77777777" w:rsidR="002933F3" w:rsidRPr="00003320" w:rsidRDefault="002933F3" w:rsidP="002933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887616" w14:textId="1D1186B9" w:rsidR="00B917E9" w:rsidRDefault="00B917E9" w:rsidP="00B917E9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val="en-GB"/>
              </w:rPr>
            </w:pPr>
            <w:r w:rsidRPr="00003320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 xml:space="preserve">PSHE is delivered safely in a trauma informed manner with an emphasis on accessibility, </w:t>
            </w:r>
            <w:proofErr w:type="gramStart"/>
            <w:r w:rsidRPr="00003320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inclusion</w:t>
            </w:r>
            <w:proofErr w:type="gramEnd"/>
            <w:r w:rsidRPr="00003320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 xml:space="preserve"> and active learning</w:t>
            </w:r>
            <w:r w:rsidRPr="00003320">
              <w:rPr>
                <w:rStyle w:val="eop"/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  <w:p w14:paraId="446A3BA7" w14:textId="77777777" w:rsidR="002933F3" w:rsidRPr="00B917E9" w:rsidRDefault="002933F3" w:rsidP="002933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val="en-GB"/>
              </w:rPr>
            </w:pPr>
          </w:p>
          <w:p w14:paraId="6E7F523C" w14:textId="77777777" w:rsidR="00B917E9" w:rsidRPr="002933F3" w:rsidRDefault="00B917E9" w:rsidP="00B917E9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val="en-GB"/>
              </w:rPr>
            </w:pPr>
            <w:r w:rsidRPr="00B917E9">
              <w:rPr>
                <w:rStyle w:val="normaltextrun"/>
                <w:rFonts w:ascii="Arial" w:hAnsi="Arial" w:cs="Arial"/>
                <w:sz w:val="20"/>
                <w:szCs w:val="20"/>
              </w:rPr>
              <w:t>Learning in PSHE is routinely assessed and the programme monitored and evaluated to ensure it is having the intended impact</w:t>
            </w:r>
            <w:r w:rsidRPr="00B917E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5FEFCBF" w14:textId="3F6DB32B" w:rsidR="002933F3" w:rsidRPr="00B917E9" w:rsidRDefault="002933F3" w:rsidP="002933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24" w:type="dxa"/>
          </w:tcPr>
          <w:p w14:paraId="023328E6" w14:textId="77777777" w:rsidR="00B917E9" w:rsidRDefault="00B917E9" w:rsidP="00B917E9"/>
        </w:tc>
        <w:tc>
          <w:tcPr>
            <w:tcW w:w="1418" w:type="dxa"/>
          </w:tcPr>
          <w:p w14:paraId="7FB4AD2F" w14:textId="77777777" w:rsidR="00B917E9" w:rsidRDefault="00B917E9" w:rsidP="00B917E9"/>
        </w:tc>
        <w:tc>
          <w:tcPr>
            <w:tcW w:w="1351" w:type="dxa"/>
          </w:tcPr>
          <w:p w14:paraId="5164D5AB" w14:textId="77777777" w:rsidR="00B917E9" w:rsidRDefault="00B917E9" w:rsidP="00B917E9"/>
        </w:tc>
        <w:tc>
          <w:tcPr>
            <w:tcW w:w="1200" w:type="dxa"/>
          </w:tcPr>
          <w:p w14:paraId="2465D9C3" w14:textId="77777777" w:rsidR="00B917E9" w:rsidRDefault="00B917E9" w:rsidP="00B917E9"/>
        </w:tc>
      </w:tr>
      <w:tr w:rsidR="00B917E9" w14:paraId="3FD938DB" w14:textId="77777777" w:rsidTr="00B917E9">
        <w:tc>
          <w:tcPr>
            <w:tcW w:w="1701" w:type="dxa"/>
          </w:tcPr>
          <w:p w14:paraId="79EBE7B5" w14:textId="77777777" w:rsidR="00B917E9" w:rsidRPr="00003320" w:rsidRDefault="00B917E9" w:rsidP="00B917E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4. Application of Learning within and outside of school </w:t>
            </w:r>
          </w:p>
          <w:p w14:paraId="3A9ED894" w14:textId="77777777" w:rsidR="00B917E9" w:rsidRPr="00003320" w:rsidRDefault="00B917E9" w:rsidP="00B917E9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57" w:type="dxa"/>
          </w:tcPr>
          <w:p w14:paraId="6C75F72A" w14:textId="77777777" w:rsidR="002933F3" w:rsidRDefault="00B917E9" w:rsidP="00B917E9">
            <w:pPr>
              <w:pStyle w:val="ListParagraph"/>
              <w:numPr>
                <w:ilvl w:val="0"/>
                <w:numId w:val="4"/>
              </w:numPr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The school provides a range of clubs relevant to health and wellbeing that are well attended by a broad range of children, these could be before or after school</w:t>
            </w:r>
          </w:p>
          <w:p w14:paraId="3E317B40" w14:textId="20E42BED" w:rsidR="00B917E9" w:rsidRPr="00003320" w:rsidRDefault="00B917E9" w:rsidP="002933F3">
            <w:pPr>
              <w:pStyle w:val="ListParagraph"/>
              <w:ind w:left="360"/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  <w:p w14:paraId="0B52251D" w14:textId="0497FED2" w:rsidR="00B917E9" w:rsidRPr="002933F3" w:rsidRDefault="00B917E9" w:rsidP="00B917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</w:rPr>
              <w:t>The school provides opportunities for children to take up leadership roles related to health and wellbeing</w:t>
            </w:r>
          </w:p>
          <w:p w14:paraId="56177BCE" w14:textId="77777777" w:rsidR="002933F3" w:rsidRPr="002933F3" w:rsidRDefault="002933F3" w:rsidP="002933F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9667B5C" w14:textId="0CB5BBFB" w:rsidR="00B917E9" w:rsidRDefault="00B917E9" w:rsidP="00B917E9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The school signposts to and actively supports children to access local opportunities focused on health and wellbeing</w:t>
            </w:r>
          </w:p>
          <w:p w14:paraId="32F9443B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1B97709C" w14:textId="03F17491" w:rsidR="00B917E9" w:rsidRPr="002933F3" w:rsidRDefault="00B917E9" w:rsidP="00B917E9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The school signposts to and/or provides holiday programmes for children</w:t>
            </w:r>
          </w:p>
          <w:p w14:paraId="61118E67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C7D1A3" w14:textId="77777777" w:rsidR="00B917E9" w:rsidRPr="00003320" w:rsidRDefault="00B917E9" w:rsidP="00B917E9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All children are encouraged and supported to use their health and wellbeing knowledge and skills in a practical way </w:t>
            </w:r>
          </w:p>
          <w:p w14:paraId="7AE77DE1" w14:textId="77777777" w:rsidR="00B917E9" w:rsidRPr="00B917E9" w:rsidRDefault="00B917E9" w:rsidP="00B917E9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4" w:type="dxa"/>
          </w:tcPr>
          <w:p w14:paraId="1DD511F5" w14:textId="77777777" w:rsidR="00B917E9" w:rsidRDefault="00B917E9" w:rsidP="00B917E9"/>
        </w:tc>
        <w:tc>
          <w:tcPr>
            <w:tcW w:w="1418" w:type="dxa"/>
          </w:tcPr>
          <w:p w14:paraId="121EA92A" w14:textId="77777777" w:rsidR="00B917E9" w:rsidRDefault="00B917E9" w:rsidP="00B917E9"/>
        </w:tc>
        <w:tc>
          <w:tcPr>
            <w:tcW w:w="1351" w:type="dxa"/>
          </w:tcPr>
          <w:p w14:paraId="3D4C7CD6" w14:textId="77777777" w:rsidR="00B917E9" w:rsidRDefault="00B917E9" w:rsidP="00B917E9"/>
        </w:tc>
        <w:tc>
          <w:tcPr>
            <w:tcW w:w="1200" w:type="dxa"/>
          </w:tcPr>
          <w:p w14:paraId="3A5DE9A5" w14:textId="77777777" w:rsidR="00B917E9" w:rsidRDefault="00B917E9" w:rsidP="00B917E9"/>
        </w:tc>
      </w:tr>
      <w:tr w:rsidR="00B917E9" w14:paraId="26152620" w14:textId="77777777" w:rsidTr="00B917E9">
        <w:tc>
          <w:tcPr>
            <w:tcW w:w="1701" w:type="dxa"/>
          </w:tcPr>
          <w:p w14:paraId="682AE1E4" w14:textId="77777777" w:rsidR="00B917E9" w:rsidRPr="00003320" w:rsidRDefault="00B917E9" w:rsidP="00B917E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5. A safe and supportive environment for children and adults</w:t>
            </w:r>
          </w:p>
          <w:p w14:paraId="36E6546D" w14:textId="77777777" w:rsidR="00B917E9" w:rsidRPr="00003320" w:rsidRDefault="00B917E9" w:rsidP="00B917E9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57" w:type="dxa"/>
          </w:tcPr>
          <w:p w14:paraId="24AAF3B8" w14:textId="6AD3364D" w:rsidR="00B917E9" w:rsidRPr="002933F3" w:rsidRDefault="00B917E9" w:rsidP="00B917E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Children and adults are signposted to relevant and needs-led health and wellbeing support as and when appropriate</w:t>
            </w:r>
          </w:p>
          <w:p w14:paraId="43D726FA" w14:textId="77777777" w:rsidR="002933F3" w:rsidRPr="00003320" w:rsidRDefault="002933F3" w:rsidP="002933F3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549D81" w14:textId="2FFF1A2A" w:rsidR="00B917E9" w:rsidRDefault="00B917E9" w:rsidP="00B917E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Bullying, harmful behaviours and discrimination are effectively addressed and actively challenged</w:t>
            </w:r>
          </w:p>
          <w:p w14:paraId="689B92D3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422B3887" w14:textId="4BA9078A" w:rsidR="00B917E9" w:rsidRDefault="00B917E9" w:rsidP="00B917E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There is embedded pastoral support that all children can access and specialist support onsite</w:t>
            </w:r>
          </w:p>
          <w:p w14:paraId="2E93118D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2FFAB56B" w14:textId="4DDCCDDE" w:rsidR="00B917E9" w:rsidRDefault="00B917E9" w:rsidP="00B917E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There are strong links and relevant information sharing between pastoral and safeguarding colleagues</w:t>
            </w:r>
          </w:p>
          <w:p w14:paraId="2AD29458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</w:p>
          <w:p w14:paraId="1CA9DB59" w14:textId="77777777" w:rsidR="00B917E9" w:rsidRPr="002933F3" w:rsidRDefault="00B917E9" w:rsidP="00B917E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B917E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Provision for support meets the needs of all children</w:t>
            </w:r>
          </w:p>
          <w:p w14:paraId="3D4197DD" w14:textId="1FB92414" w:rsidR="002933F3" w:rsidRPr="002933F3" w:rsidRDefault="002933F3" w:rsidP="002933F3">
            <w:pPr>
              <w:rPr>
                <w:rStyle w:val="normaltextrun"/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124" w:type="dxa"/>
          </w:tcPr>
          <w:p w14:paraId="186BD0F4" w14:textId="77777777" w:rsidR="00B917E9" w:rsidRDefault="00B917E9" w:rsidP="00B917E9"/>
        </w:tc>
        <w:tc>
          <w:tcPr>
            <w:tcW w:w="1418" w:type="dxa"/>
          </w:tcPr>
          <w:p w14:paraId="7B3BE80B" w14:textId="77777777" w:rsidR="00B917E9" w:rsidRDefault="00B917E9" w:rsidP="00B917E9"/>
        </w:tc>
        <w:tc>
          <w:tcPr>
            <w:tcW w:w="1351" w:type="dxa"/>
          </w:tcPr>
          <w:p w14:paraId="4441F22B" w14:textId="77777777" w:rsidR="00B917E9" w:rsidRDefault="00B917E9" w:rsidP="00B917E9"/>
        </w:tc>
        <w:tc>
          <w:tcPr>
            <w:tcW w:w="1200" w:type="dxa"/>
          </w:tcPr>
          <w:p w14:paraId="30F44559" w14:textId="77777777" w:rsidR="00B917E9" w:rsidRDefault="00B917E9" w:rsidP="00B917E9"/>
        </w:tc>
      </w:tr>
      <w:tr w:rsidR="00B917E9" w14:paraId="3A283408" w14:textId="77777777" w:rsidTr="00B917E9">
        <w:tc>
          <w:tcPr>
            <w:tcW w:w="1701" w:type="dxa"/>
          </w:tcPr>
          <w:p w14:paraId="087C00E7" w14:textId="77777777" w:rsidR="00B917E9" w:rsidRPr="00003320" w:rsidRDefault="00B917E9" w:rsidP="00B917E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6. Learning from Networks &amp; Training </w:t>
            </w:r>
          </w:p>
          <w:p w14:paraId="00DD554D" w14:textId="77777777" w:rsidR="00B917E9" w:rsidRPr="00003320" w:rsidRDefault="00B917E9" w:rsidP="00B917E9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57" w:type="dxa"/>
          </w:tcPr>
          <w:p w14:paraId="5CB8FE98" w14:textId="5816A859" w:rsidR="00B917E9" w:rsidRDefault="00B917E9" w:rsidP="00B917E9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Attendance at relevant local networks and sharing of good practice with other colleagues and schools</w:t>
            </w:r>
          </w:p>
          <w:p w14:paraId="78455491" w14:textId="77777777" w:rsidR="002933F3" w:rsidRPr="00003320" w:rsidRDefault="002933F3" w:rsidP="002933F3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400BF3CC" w14:textId="16CA30A5" w:rsidR="00B917E9" w:rsidRDefault="00B917E9" w:rsidP="00B917E9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The school makes use of links with professional bodies and agencies</w:t>
            </w:r>
          </w:p>
          <w:p w14:paraId="65B8E80E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2594A623" w14:textId="1A2A49C5" w:rsidR="00B917E9" w:rsidRDefault="00B917E9" w:rsidP="00B917E9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A regular assessment is carried out to identify the training needs of staff around health and wellbeing</w:t>
            </w:r>
          </w:p>
          <w:p w14:paraId="635CC888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3278E575" w14:textId="6F539A5B" w:rsidR="00B917E9" w:rsidRPr="002933F3" w:rsidRDefault="00B917E9" w:rsidP="00B917E9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All staff receive relevant training based on their identified needs to support the wellbeing of children </w:t>
            </w:r>
          </w:p>
          <w:p w14:paraId="75557557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9BEBF2" w14:textId="77777777" w:rsidR="002933F3" w:rsidRPr="002933F3" w:rsidRDefault="00B917E9" w:rsidP="00B917E9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eastAsia="Times New Roman" w:hAnsi="Arial" w:cs="Arial"/>
                <w:sz w:val="20"/>
                <w:szCs w:val="20"/>
              </w:rPr>
            </w:pPr>
            <w:r w:rsidRPr="00B917E9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Health and wellbeing training and discussion, informed by data and insight, is part of staff meetings and/or inset on a regular basis</w:t>
            </w:r>
          </w:p>
          <w:p w14:paraId="461E2138" w14:textId="06DE3B77" w:rsidR="00B917E9" w:rsidRPr="002933F3" w:rsidRDefault="00B917E9" w:rsidP="002933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33F3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2933F3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124" w:type="dxa"/>
          </w:tcPr>
          <w:p w14:paraId="0CED4EAB" w14:textId="77777777" w:rsidR="00B917E9" w:rsidRDefault="00B917E9" w:rsidP="00B917E9"/>
        </w:tc>
        <w:tc>
          <w:tcPr>
            <w:tcW w:w="1418" w:type="dxa"/>
          </w:tcPr>
          <w:p w14:paraId="06EFB597" w14:textId="77777777" w:rsidR="00B917E9" w:rsidRDefault="00B917E9" w:rsidP="00B917E9"/>
        </w:tc>
        <w:tc>
          <w:tcPr>
            <w:tcW w:w="1351" w:type="dxa"/>
          </w:tcPr>
          <w:p w14:paraId="35160F90" w14:textId="77777777" w:rsidR="00B917E9" w:rsidRDefault="00B917E9" w:rsidP="00B917E9"/>
        </w:tc>
        <w:tc>
          <w:tcPr>
            <w:tcW w:w="1200" w:type="dxa"/>
          </w:tcPr>
          <w:p w14:paraId="2A5FD983" w14:textId="77777777" w:rsidR="00B917E9" w:rsidRDefault="00B917E9" w:rsidP="00B917E9"/>
        </w:tc>
      </w:tr>
      <w:tr w:rsidR="00B917E9" w14:paraId="2E344BBE" w14:textId="77777777" w:rsidTr="00B917E9">
        <w:tc>
          <w:tcPr>
            <w:tcW w:w="1701" w:type="dxa"/>
          </w:tcPr>
          <w:p w14:paraId="20A833EE" w14:textId="76304819" w:rsidR="00B917E9" w:rsidRPr="00003320" w:rsidRDefault="00B917E9" w:rsidP="00B917E9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hAnsi="Arial" w:cs="Arial"/>
                <w:sz w:val="20"/>
                <w:szCs w:val="20"/>
              </w:rPr>
              <w:t>7. Involving parents and carers in the school’s provision of health and wellbeing</w:t>
            </w:r>
          </w:p>
        </w:tc>
        <w:tc>
          <w:tcPr>
            <w:tcW w:w="3657" w:type="dxa"/>
          </w:tcPr>
          <w:p w14:paraId="4D0F1D93" w14:textId="5F52B762" w:rsidR="00B917E9" w:rsidRPr="002933F3" w:rsidRDefault="00B917E9" w:rsidP="00B917E9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Opportunities are provided for </w:t>
            </w:r>
            <w:r w:rsidRPr="00003320">
              <w:rPr>
                <w:rFonts w:ascii="Arial" w:hAnsi="Arial" w:cs="Arial"/>
                <w:sz w:val="20"/>
                <w:szCs w:val="20"/>
              </w:rPr>
              <w:t xml:space="preserve">parents and carers </w:t>
            </w: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to learn more about health and wellbeing, particularly those with greater barriers to involvement</w:t>
            </w:r>
          </w:p>
          <w:p w14:paraId="035216A7" w14:textId="77777777" w:rsidR="002933F3" w:rsidRPr="00003320" w:rsidRDefault="002933F3" w:rsidP="002933F3">
            <w:pPr>
              <w:pStyle w:val="ListParagraph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EE5E67" w14:textId="7F3BB54B" w:rsidR="00B917E9" w:rsidRPr="002933F3" w:rsidRDefault="00B917E9" w:rsidP="00B917E9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Parents and </w:t>
            </w:r>
            <w:proofErr w:type="spellStart"/>
            <w:r w:rsidRPr="00003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carers</w:t>
            </w:r>
            <w:proofErr w:type="spellEnd"/>
            <w:r w:rsidRPr="00003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are signposted to sources of support around health and wellbeing</w:t>
            </w:r>
          </w:p>
          <w:p w14:paraId="30A6FA08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A872A0" w14:textId="2A70F0D9" w:rsidR="00B917E9" w:rsidRPr="002933F3" w:rsidRDefault="00B917E9" w:rsidP="00B917E9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Parents and </w:t>
            </w:r>
            <w:proofErr w:type="spellStart"/>
            <w:r w:rsidRPr="00003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carers</w:t>
            </w:r>
            <w:proofErr w:type="spellEnd"/>
            <w:r w:rsidRPr="00003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00332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are engaged in children’s learning around health and wellbeing</w:t>
            </w:r>
          </w:p>
          <w:p w14:paraId="49D47379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4E60E4" w14:textId="4677C1D3" w:rsidR="00B917E9" w:rsidRDefault="00B917E9" w:rsidP="00B917E9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0033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The voice of parents and carers is reflected in school policy and provision around health and wellbeing</w:t>
            </w:r>
          </w:p>
          <w:p w14:paraId="7B53A320" w14:textId="77777777" w:rsidR="002933F3" w:rsidRPr="002933F3" w:rsidRDefault="002933F3" w:rsidP="002933F3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6FDCE575" w14:textId="43154D97" w:rsidR="00B917E9" w:rsidRPr="00B917E9" w:rsidRDefault="00B917E9" w:rsidP="00B917E9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B917E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Opportunities are highlighted for </w:t>
            </w:r>
            <w:r w:rsidRPr="00B917E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parents and </w:t>
            </w:r>
            <w:proofErr w:type="spellStart"/>
            <w:r w:rsidRPr="00B917E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carers</w:t>
            </w:r>
            <w:proofErr w:type="spellEnd"/>
            <w:r w:rsidRPr="00B917E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to improve their own health and wellbeing</w:t>
            </w:r>
          </w:p>
        </w:tc>
        <w:tc>
          <w:tcPr>
            <w:tcW w:w="6124" w:type="dxa"/>
          </w:tcPr>
          <w:p w14:paraId="085BBBF5" w14:textId="77777777" w:rsidR="00B917E9" w:rsidRDefault="00B917E9" w:rsidP="00B917E9"/>
        </w:tc>
        <w:tc>
          <w:tcPr>
            <w:tcW w:w="1418" w:type="dxa"/>
          </w:tcPr>
          <w:p w14:paraId="4246629F" w14:textId="77777777" w:rsidR="00B917E9" w:rsidRDefault="00B917E9" w:rsidP="00B917E9"/>
        </w:tc>
        <w:tc>
          <w:tcPr>
            <w:tcW w:w="1351" w:type="dxa"/>
          </w:tcPr>
          <w:p w14:paraId="21424594" w14:textId="77777777" w:rsidR="00B917E9" w:rsidRDefault="00B917E9" w:rsidP="00B917E9"/>
        </w:tc>
        <w:tc>
          <w:tcPr>
            <w:tcW w:w="1200" w:type="dxa"/>
          </w:tcPr>
          <w:p w14:paraId="0674141D" w14:textId="77777777" w:rsidR="00B917E9" w:rsidRDefault="00B917E9" w:rsidP="00B917E9"/>
        </w:tc>
      </w:tr>
    </w:tbl>
    <w:p w14:paraId="6C36B808" w14:textId="77777777" w:rsidR="00B917E9" w:rsidRDefault="00B917E9" w:rsidP="00B917E9">
      <w:pPr>
        <w:ind w:left="720" w:hanging="720"/>
      </w:pPr>
    </w:p>
    <w:sectPr w:rsidR="00B917E9" w:rsidSect="00B917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24DB"/>
    <w:multiLevelType w:val="hybridMultilevel"/>
    <w:tmpl w:val="2654DB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E45ED"/>
    <w:multiLevelType w:val="hybridMultilevel"/>
    <w:tmpl w:val="CEB201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51CA6"/>
    <w:multiLevelType w:val="hybridMultilevel"/>
    <w:tmpl w:val="7986AD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E4F12"/>
    <w:multiLevelType w:val="hybridMultilevel"/>
    <w:tmpl w:val="6BFE89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47487"/>
    <w:multiLevelType w:val="hybridMultilevel"/>
    <w:tmpl w:val="476A07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4D22A0"/>
    <w:multiLevelType w:val="hybridMultilevel"/>
    <w:tmpl w:val="363062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C73266"/>
    <w:multiLevelType w:val="hybridMultilevel"/>
    <w:tmpl w:val="775A4F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E9"/>
    <w:rsid w:val="002933F3"/>
    <w:rsid w:val="00832CCF"/>
    <w:rsid w:val="00A1423B"/>
    <w:rsid w:val="00B04EFB"/>
    <w:rsid w:val="00B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6E43"/>
  <w15:chartTrackingRefBased/>
  <w15:docId w15:val="{AC481CFA-328F-432E-AF02-96462F1A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7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17E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917E9"/>
  </w:style>
  <w:style w:type="character" w:customStyle="1" w:styleId="eop">
    <w:name w:val="eop"/>
    <w:basedOn w:val="DefaultParagraphFont"/>
    <w:rsid w:val="00B917E9"/>
  </w:style>
  <w:style w:type="paragraph" w:customStyle="1" w:styleId="paragraph">
    <w:name w:val="paragraph"/>
    <w:basedOn w:val="Normal"/>
    <w:rsid w:val="00B917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Kirk</dc:creator>
  <cp:keywords/>
  <dc:description/>
  <cp:lastModifiedBy>Catherine Kirk</cp:lastModifiedBy>
  <cp:revision>2</cp:revision>
  <dcterms:created xsi:type="dcterms:W3CDTF">2024-05-30T14:42:00Z</dcterms:created>
  <dcterms:modified xsi:type="dcterms:W3CDTF">2024-06-02T14:53:00Z</dcterms:modified>
</cp:coreProperties>
</file>